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DD5C" w14:textId="7567EDC8" w:rsidR="002B2D9F" w:rsidRDefault="002B2D9F" w:rsidP="004D2B20">
      <w:pPr>
        <w:rPr>
          <w:b/>
          <w:sz w:val="20"/>
          <w:szCs w:val="20"/>
        </w:rPr>
      </w:pPr>
    </w:p>
    <w:p w14:paraId="7DE1D5EE" w14:textId="1CC15406" w:rsidR="004D2B20" w:rsidRDefault="004D2B20" w:rsidP="004D2B20">
      <w:pPr>
        <w:rPr>
          <w:b/>
          <w:sz w:val="28"/>
          <w:szCs w:val="28"/>
        </w:rPr>
      </w:pPr>
      <w:r>
        <w:rPr>
          <w:b/>
          <w:sz w:val="28"/>
          <w:szCs w:val="28"/>
        </w:rPr>
        <w:t>Annual Professional Development Record &amp; Plan</w:t>
      </w:r>
      <w:r w:rsidR="002A7FBF">
        <w:rPr>
          <w:b/>
          <w:sz w:val="28"/>
          <w:szCs w:val="28"/>
        </w:rPr>
        <w:t xml:space="preserve">                                   </w:t>
      </w:r>
      <w:r w:rsidR="002A7FBF">
        <w:rPr>
          <w:b/>
          <w:noProof/>
          <w:sz w:val="28"/>
          <w:szCs w:val="28"/>
        </w:rPr>
        <w:drawing>
          <wp:inline distT="0" distB="0" distL="0" distR="0" wp14:anchorId="78701AFA" wp14:editId="53414A6F">
            <wp:extent cx="1018150" cy="389292"/>
            <wp:effectExtent l="0" t="0" r="0" b="0"/>
            <wp:docPr id="1" name="Picture 1" descr="A red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grey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665" cy="38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8FE8D" w14:textId="77777777" w:rsidR="007B14FE" w:rsidRDefault="007B14FE" w:rsidP="004D2B20">
      <w:pPr>
        <w:rPr>
          <w:b/>
          <w:sz w:val="28"/>
          <w:szCs w:val="28"/>
        </w:rPr>
      </w:pPr>
      <w:r w:rsidRPr="00854050">
        <w:rPr>
          <w:b/>
          <w:sz w:val="28"/>
          <w:szCs w:val="28"/>
        </w:rPr>
        <w:t>Trainer Qualification</w:t>
      </w:r>
      <w:r w:rsidR="004D2B20">
        <w:rPr>
          <w:b/>
          <w:sz w:val="28"/>
          <w:szCs w:val="28"/>
        </w:rPr>
        <w:t xml:space="preserve">, </w:t>
      </w:r>
      <w:r w:rsidR="00D36069">
        <w:rPr>
          <w:b/>
          <w:sz w:val="28"/>
          <w:szCs w:val="28"/>
        </w:rPr>
        <w:t>T</w:t>
      </w:r>
      <w:r w:rsidR="004D2B20">
        <w:rPr>
          <w:b/>
          <w:sz w:val="28"/>
          <w:szCs w:val="28"/>
        </w:rPr>
        <w:t>raining</w:t>
      </w:r>
      <w:r w:rsidRPr="00854050">
        <w:rPr>
          <w:b/>
          <w:sz w:val="28"/>
          <w:szCs w:val="28"/>
        </w:rPr>
        <w:t xml:space="preserve"> and Experience </w:t>
      </w:r>
    </w:p>
    <w:p w14:paraId="2EAA4110" w14:textId="77777777" w:rsidR="00132469" w:rsidRDefault="00132469" w:rsidP="004D2B20">
      <w:r w:rsidRPr="00132469">
        <w:t xml:space="preserve">It is an ASQA requirement that trainers stay current with VET requirements and practices </w:t>
      </w:r>
      <w:r w:rsidR="001819F1">
        <w:t>along with</w:t>
      </w:r>
      <w:r w:rsidR="001819F1" w:rsidRPr="001819F1">
        <w:t xml:space="preserve"> training and assessment techniques and practices as part of their professional development </w:t>
      </w:r>
      <w:r w:rsidRPr="00132469">
        <w:t>in addition to retaining their currency and experience in their industry field/s.</w:t>
      </w:r>
      <w:r>
        <w:t xml:space="preserve"> </w:t>
      </w:r>
    </w:p>
    <w:p w14:paraId="548ED47C" w14:textId="77777777" w:rsidR="00132469" w:rsidRDefault="00132469" w:rsidP="00132469">
      <w:pPr>
        <w:tabs>
          <w:tab w:val="left" w:leader="dot" w:pos="10065"/>
          <w:tab w:val="right" w:leader="dot" w:pos="13268"/>
        </w:tabs>
        <w:spacing w:before="360"/>
      </w:pPr>
      <w:r>
        <w:t xml:space="preserve">Name: </w:t>
      </w:r>
    </w:p>
    <w:p w14:paraId="067A7271" w14:textId="77777777" w:rsidR="00132469" w:rsidRDefault="00132469" w:rsidP="00132469">
      <w:r>
        <w:t>Date Completed:</w:t>
      </w:r>
    </w:p>
    <w:p w14:paraId="228500EA" w14:textId="77777777" w:rsidR="004D2B20" w:rsidRDefault="00132469" w:rsidP="00132469">
      <w:r w:rsidRPr="00D36069">
        <w:rPr>
          <w:b/>
        </w:rPr>
        <w:t xml:space="preserve">Part A Record of activities completed (each year add to this </w:t>
      </w:r>
      <w:proofErr w:type="gramStart"/>
      <w:r w:rsidRPr="00D36069">
        <w:rPr>
          <w:b/>
        </w:rPr>
        <w:t>list)</w:t>
      </w:r>
      <w:r>
        <w:rPr>
          <w:b/>
        </w:rPr>
        <w:t xml:space="preserve">  </w:t>
      </w:r>
      <w:r w:rsidR="004D2B20">
        <w:t>Use</w:t>
      </w:r>
      <w:proofErr w:type="gramEnd"/>
      <w:r w:rsidR="004D2B20">
        <w:t xml:space="preserve"> this template to record your program of professional development activities </w:t>
      </w:r>
      <w:r w:rsidR="007436BD">
        <w:t xml:space="preserve">already </w:t>
      </w:r>
      <w:r w:rsidR="004D2B20">
        <w:t>undertaken.</w:t>
      </w:r>
      <w:r w:rsidR="001819F1">
        <w:t xml:space="preserve"> Evidence of these activities are to be kept on file by the trainer and may be requested during an internal or external audit</w:t>
      </w:r>
    </w:p>
    <w:tbl>
      <w:tblPr>
        <w:tblW w:w="1018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793"/>
        <w:gridCol w:w="992"/>
        <w:gridCol w:w="1560"/>
        <w:gridCol w:w="2835"/>
      </w:tblGrid>
      <w:tr w:rsidR="00D36069" w14:paraId="3591997D" w14:textId="77777777" w:rsidTr="00410170">
        <w:trPr>
          <w:cantSplit/>
          <w:trHeight w:val="1134"/>
          <w:tblHeader/>
        </w:trPr>
        <w:tc>
          <w:tcPr>
            <w:tcW w:w="4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E599" w:themeFill="accent4" w:themeFillTint="66"/>
            <w:vAlign w:val="center"/>
            <w:hideMark/>
          </w:tcPr>
          <w:p w14:paraId="6380DCC2" w14:textId="77777777" w:rsidR="00D36069" w:rsidRDefault="00D36069">
            <w:pPr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</w:t>
            </w:r>
          </w:p>
          <w:p w14:paraId="61A1F0D1" w14:textId="77777777" w:rsidR="00D36069" w:rsidRPr="00D36069" w:rsidRDefault="00D36069" w:rsidP="001819F1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D36069">
              <w:rPr>
                <w:sz w:val="16"/>
                <w:szCs w:val="20"/>
              </w:rPr>
              <w:t>Ie</w:t>
            </w:r>
            <w:proofErr w:type="spellEnd"/>
            <w:r w:rsidRPr="00D36069">
              <w:rPr>
                <w:sz w:val="16"/>
                <w:szCs w:val="20"/>
              </w:rPr>
              <w:t xml:space="preserve"> </w:t>
            </w:r>
            <w:r w:rsidR="001819F1">
              <w:rPr>
                <w:sz w:val="16"/>
                <w:szCs w:val="20"/>
              </w:rPr>
              <w:t>w</w:t>
            </w:r>
            <w:r w:rsidRPr="00D36069">
              <w:rPr>
                <w:sz w:val="16"/>
                <w:szCs w:val="20"/>
              </w:rPr>
              <w:t>ebinar,</w:t>
            </w:r>
            <w:r>
              <w:rPr>
                <w:sz w:val="20"/>
                <w:szCs w:val="20"/>
              </w:rPr>
              <w:t xml:space="preserve"> </w:t>
            </w:r>
            <w:r w:rsidRPr="00D36069">
              <w:rPr>
                <w:sz w:val="16"/>
                <w:szCs w:val="20"/>
              </w:rPr>
              <w:t>workshop, qualification</w:t>
            </w:r>
            <w:r>
              <w:rPr>
                <w:sz w:val="16"/>
                <w:szCs w:val="20"/>
              </w:rPr>
              <w:t>, discussion forum, newsletter</w:t>
            </w:r>
            <w:r w:rsidR="001819F1">
              <w:rPr>
                <w:sz w:val="16"/>
                <w:szCs w:val="20"/>
              </w:rPr>
              <w:t>, industry experience</w:t>
            </w:r>
            <w:r w:rsidRPr="00D36069">
              <w:rPr>
                <w:sz w:val="16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36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E599" w:themeFill="accent4" w:themeFillTint="66"/>
            <w:vAlign w:val="center"/>
            <w:hideMark/>
          </w:tcPr>
          <w:p w14:paraId="1CA062CF" w14:textId="77777777" w:rsidR="00D36069" w:rsidRPr="00D36069" w:rsidRDefault="00D36069">
            <w:pPr>
              <w:spacing w:before="120" w:after="120" w:line="276" w:lineRule="auto"/>
              <w:jc w:val="center"/>
              <w:rPr>
                <w:b/>
                <w:sz w:val="18"/>
                <w:szCs w:val="20"/>
              </w:rPr>
            </w:pPr>
            <w:r w:rsidRPr="00D36069">
              <w:rPr>
                <w:b/>
                <w:sz w:val="18"/>
                <w:szCs w:val="20"/>
              </w:rPr>
              <w:t>Date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D36069">
              <w:rPr>
                <w:b/>
                <w:sz w:val="10"/>
                <w:szCs w:val="20"/>
              </w:rPr>
              <w:t>Completed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E599" w:themeFill="accent4" w:themeFillTint="66"/>
            <w:vAlign w:val="center"/>
            <w:hideMark/>
          </w:tcPr>
          <w:p w14:paraId="4FFB73B8" w14:textId="77777777" w:rsidR="00D36069" w:rsidRDefault="00D36069" w:rsidP="00D36069">
            <w:pPr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Area of Development </w:t>
            </w:r>
            <w:r w:rsidRPr="00D36069">
              <w:rPr>
                <w:b/>
                <w:sz w:val="16"/>
                <w:szCs w:val="20"/>
              </w:rPr>
              <w:t>(Vocational, VET, TAE )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E599" w:themeFill="accent4" w:themeFillTint="66"/>
            <w:vAlign w:val="center"/>
            <w:hideMark/>
          </w:tcPr>
          <w:p w14:paraId="7C932F7C" w14:textId="77777777" w:rsidR="00D36069" w:rsidRDefault="00D36069">
            <w:pPr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Objectives of activity</w:t>
            </w:r>
          </w:p>
        </w:tc>
      </w:tr>
      <w:tr w:rsidR="00410170" w:rsidRPr="00410170" w14:paraId="5ED3EA6C" w14:textId="77777777" w:rsidTr="00410170">
        <w:trPr>
          <w:cantSplit/>
        </w:trPr>
        <w:tc>
          <w:tcPr>
            <w:tcW w:w="4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BA2A8D" w14:textId="1AFBB486" w:rsidR="00D36069" w:rsidRPr="00410170" w:rsidRDefault="00D36069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EG - TAE401</w:t>
            </w:r>
            <w:r w:rsidR="002A7FBF">
              <w:rPr>
                <w:i/>
                <w:color w:val="BF8F00" w:themeColor="accent4" w:themeShade="BF"/>
                <w:sz w:val="18"/>
                <w:szCs w:val="18"/>
              </w:rPr>
              <w:t xml:space="preserve">16 </w:t>
            </w: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Cert IV Training &amp; Assessment</w:t>
            </w:r>
            <w:r w:rsidR="001819F1" w:rsidRPr="00410170">
              <w:rPr>
                <w:i/>
                <w:color w:val="BF8F00" w:themeColor="accent4" w:themeShade="BF"/>
                <w:sz w:val="18"/>
                <w:szCs w:val="18"/>
              </w:rPr>
              <w:t xml:space="preserve"> qualification</w:t>
            </w: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FF2A67" w14:textId="6596D082" w:rsidR="00D36069" w:rsidRPr="00410170" w:rsidRDefault="001819F1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1/7/</w:t>
            </w:r>
            <w:r w:rsidR="002A7FBF">
              <w:rPr>
                <w:i/>
                <w:color w:val="BF8F00" w:themeColor="accent4" w:themeShade="BF"/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0AA0B0" w14:textId="77777777" w:rsidR="00D36069" w:rsidRPr="00410170" w:rsidRDefault="00D36069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VET &amp; TAE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C34FAA" w14:textId="77777777" w:rsidR="00D36069" w:rsidRPr="00410170" w:rsidRDefault="00D36069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To learn how to training and assess in the VET sector</w:t>
            </w:r>
          </w:p>
        </w:tc>
      </w:tr>
      <w:tr w:rsidR="00D36069" w:rsidRPr="00410170" w14:paraId="5EBCA01F" w14:textId="77777777" w:rsidTr="00410170">
        <w:trPr>
          <w:cantSplit/>
        </w:trPr>
        <w:tc>
          <w:tcPr>
            <w:tcW w:w="4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2D51DE2" w14:textId="77777777" w:rsidR="00D36069" w:rsidRPr="00410170" w:rsidRDefault="00410170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EG –Vet Development Centre webinar</w:t>
            </w:r>
            <w:r>
              <w:rPr>
                <w:i/>
                <w:color w:val="BF8F00" w:themeColor="accent4" w:themeShade="BF"/>
                <w:sz w:val="18"/>
                <w:szCs w:val="18"/>
              </w:rPr>
              <w:t xml:space="preserve"> – How to design course specific engagement strategies</w:t>
            </w: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E8291D" w14:textId="3F2D9846" w:rsidR="00D36069" w:rsidRPr="00410170" w:rsidRDefault="00410170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1/9/</w:t>
            </w:r>
            <w:r w:rsidR="002A7FBF">
              <w:rPr>
                <w:i/>
                <w:color w:val="BF8F00" w:themeColor="accent4" w:themeShade="BF"/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7E185A" w14:textId="77777777" w:rsidR="00D36069" w:rsidRPr="00410170" w:rsidRDefault="00410170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TAE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7904DF" w14:textId="77777777" w:rsidR="00D36069" w:rsidRPr="00410170" w:rsidRDefault="00410170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>
              <w:rPr>
                <w:i/>
                <w:color w:val="BF8F00" w:themeColor="accent4" w:themeShade="BF"/>
                <w:sz w:val="18"/>
                <w:szCs w:val="18"/>
              </w:rPr>
              <w:t>To learn about various engagement strategies</w:t>
            </w:r>
          </w:p>
        </w:tc>
      </w:tr>
      <w:tr w:rsidR="00D36069" w:rsidRPr="00B14DD1" w14:paraId="542CEFC6" w14:textId="77777777" w:rsidTr="00410170">
        <w:trPr>
          <w:cantSplit/>
        </w:trPr>
        <w:tc>
          <w:tcPr>
            <w:tcW w:w="4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57BF8C" w14:textId="55630846" w:rsidR="00D36069" w:rsidRPr="00B14DD1" w:rsidRDefault="00410170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B14DD1">
              <w:rPr>
                <w:i/>
                <w:color w:val="BF8F00" w:themeColor="accent4" w:themeShade="BF"/>
                <w:sz w:val="18"/>
                <w:szCs w:val="18"/>
              </w:rPr>
              <w:t>EG –Australia</w:t>
            </w:r>
            <w:r w:rsidR="002A7FBF">
              <w:rPr>
                <w:i/>
                <w:color w:val="BF8F00" w:themeColor="accent4" w:themeShade="BF"/>
                <w:sz w:val="18"/>
                <w:szCs w:val="18"/>
              </w:rPr>
              <w:t xml:space="preserve">n Institute of Safety </w:t>
            </w:r>
            <w:r w:rsidRPr="00B14DD1">
              <w:rPr>
                <w:i/>
                <w:color w:val="BF8F00" w:themeColor="accent4" w:themeShade="BF"/>
                <w:sz w:val="18"/>
                <w:szCs w:val="18"/>
              </w:rPr>
              <w:t xml:space="preserve"> </w:t>
            </w:r>
            <w:r w:rsidR="00B14DD1" w:rsidRPr="00B14DD1">
              <w:rPr>
                <w:i/>
                <w:color w:val="BF8F00" w:themeColor="accent4" w:themeShade="BF"/>
                <w:sz w:val="18"/>
                <w:szCs w:val="18"/>
              </w:rPr>
              <w:t>newsletter</w:t>
            </w: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25C221F" w14:textId="77777777" w:rsidR="00D36069" w:rsidRPr="00B14DD1" w:rsidRDefault="00B14DD1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B14DD1">
              <w:rPr>
                <w:i/>
                <w:color w:val="BF8F00" w:themeColor="accent4" w:themeShade="BF"/>
                <w:sz w:val="18"/>
                <w:szCs w:val="18"/>
              </w:rPr>
              <w:t>Ongoing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395C4F1" w14:textId="77777777" w:rsidR="00D36069" w:rsidRPr="00B14DD1" w:rsidRDefault="00B14DD1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B14DD1">
              <w:rPr>
                <w:i/>
                <w:color w:val="BF8F00" w:themeColor="accent4" w:themeShade="BF"/>
                <w:sz w:val="18"/>
                <w:szCs w:val="18"/>
              </w:rPr>
              <w:t>Vocational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3B14EE8" w14:textId="77777777" w:rsidR="00D36069" w:rsidRPr="00B14DD1" w:rsidRDefault="00B14DD1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B14DD1">
              <w:rPr>
                <w:i/>
                <w:color w:val="BF8F00" w:themeColor="accent4" w:themeShade="BF"/>
                <w:sz w:val="18"/>
                <w:szCs w:val="18"/>
              </w:rPr>
              <w:t>Keep up to date with WHS initiatives</w:t>
            </w:r>
          </w:p>
        </w:tc>
      </w:tr>
      <w:tr w:rsidR="00D36069" w14:paraId="33279122" w14:textId="77777777" w:rsidTr="00410170">
        <w:trPr>
          <w:cantSplit/>
        </w:trPr>
        <w:tc>
          <w:tcPr>
            <w:tcW w:w="4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F7626F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881E8E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090C73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2F499A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D36069" w14:paraId="4892AE32" w14:textId="77777777" w:rsidTr="00410170">
        <w:trPr>
          <w:cantSplit/>
        </w:trPr>
        <w:tc>
          <w:tcPr>
            <w:tcW w:w="4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F78651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E89769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0563A5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CC9C3D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D36069" w14:paraId="2459F9C4" w14:textId="77777777" w:rsidTr="00410170">
        <w:trPr>
          <w:cantSplit/>
        </w:trPr>
        <w:tc>
          <w:tcPr>
            <w:tcW w:w="4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318C6E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E530C1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8C18F5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A6355D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D36069" w14:paraId="5B675D0D" w14:textId="77777777" w:rsidTr="00410170">
        <w:trPr>
          <w:cantSplit/>
        </w:trPr>
        <w:tc>
          <w:tcPr>
            <w:tcW w:w="4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CFAAE6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DBF319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09F31A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8C0115F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D36069" w14:paraId="739B0C62" w14:textId="77777777" w:rsidTr="00410170">
        <w:trPr>
          <w:cantSplit/>
        </w:trPr>
        <w:tc>
          <w:tcPr>
            <w:tcW w:w="4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699903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1FC10A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3D51E7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57C10BE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D36069" w14:paraId="4F8DC013" w14:textId="77777777" w:rsidTr="00410170">
        <w:trPr>
          <w:cantSplit/>
        </w:trPr>
        <w:tc>
          <w:tcPr>
            <w:tcW w:w="4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36F0C2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BEFE58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63054D5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332136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D36069" w14:paraId="2D1B916E" w14:textId="77777777" w:rsidTr="00410170">
        <w:trPr>
          <w:cantSplit/>
        </w:trPr>
        <w:tc>
          <w:tcPr>
            <w:tcW w:w="4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0AC210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C3B8C1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938EE4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DDA54F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D36069" w14:paraId="727BA8E0" w14:textId="77777777" w:rsidTr="00410170">
        <w:trPr>
          <w:cantSplit/>
        </w:trPr>
        <w:tc>
          <w:tcPr>
            <w:tcW w:w="4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A6F89D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9C55BC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91D7B4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0CD607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D36069" w14:paraId="41B76A86" w14:textId="77777777" w:rsidTr="00410170">
        <w:trPr>
          <w:cantSplit/>
        </w:trPr>
        <w:tc>
          <w:tcPr>
            <w:tcW w:w="4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0A8D84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E3C968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B28D6D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E83EA1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D36069" w14:paraId="375844F1" w14:textId="77777777" w:rsidTr="00410170">
        <w:trPr>
          <w:cantSplit/>
        </w:trPr>
        <w:tc>
          <w:tcPr>
            <w:tcW w:w="4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47E6DD3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47F4A4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081323C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710EFA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D36069" w14:paraId="71B37F90" w14:textId="77777777" w:rsidTr="00410170">
        <w:trPr>
          <w:cantSplit/>
        </w:trPr>
        <w:tc>
          <w:tcPr>
            <w:tcW w:w="4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59AD43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58C9C5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4149A8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B3899F" w14:textId="77777777" w:rsidR="00D36069" w:rsidRDefault="00D36069">
            <w:pPr>
              <w:spacing w:before="120" w:after="120" w:line="276" w:lineRule="auto"/>
              <w:rPr>
                <w:szCs w:val="24"/>
              </w:rPr>
            </w:pPr>
          </w:p>
        </w:tc>
      </w:tr>
    </w:tbl>
    <w:p w14:paraId="0E31993F" w14:textId="77777777" w:rsidR="00B14DD1" w:rsidRDefault="00B14DD1" w:rsidP="007436BD">
      <w:pPr>
        <w:tabs>
          <w:tab w:val="right" w:leader="dot" w:pos="13268"/>
        </w:tabs>
        <w:spacing w:before="360"/>
        <w:rPr>
          <w:b/>
        </w:rPr>
      </w:pPr>
    </w:p>
    <w:p w14:paraId="1FD0C8F3" w14:textId="77777777" w:rsidR="004D2B20" w:rsidRPr="00D36069" w:rsidRDefault="00D36069" w:rsidP="007436BD">
      <w:pPr>
        <w:tabs>
          <w:tab w:val="right" w:leader="dot" w:pos="13268"/>
        </w:tabs>
        <w:spacing w:before="360"/>
        <w:rPr>
          <w:rFonts w:ascii="Franklin Gothic Book" w:hAnsi="Franklin Gothic Book"/>
          <w:b/>
        </w:rPr>
      </w:pPr>
      <w:r w:rsidRPr="00D36069">
        <w:rPr>
          <w:b/>
        </w:rPr>
        <w:t xml:space="preserve">Part B </w:t>
      </w:r>
      <w:r w:rsidR="007436BD" w:rsidRPr="00D36069">
        <w:rPr>
          <w:b/>
        </w:rPr>
        <w:t>Professional Development Plan for ne</w:t>
      </w:r>
      <w:r w:rsidRPr="00D36069">
        <w:rPr>
          <w:b/>
        </w:rPr>
        <w:t>x</w:t>
      </w:r>
      <w:r w:rsidR="007436BD" w:rsidRPr="00D36069">
        <w:rPr>
          <w:b/>
        </w:rPr>
        <w:t>t 12 months</w:t>
      </w:r>
      <w:r w:rsidR="001819F1">
        <w:rPr>
          <w:b/>
        </w:rPr>
        <w:t xml:space="preserve"> </w:t>
      </w:r>
      <w:r w:rsidR="00410170">
        <w:rPr>
          <w:b/>
        </w:rPr>
        <w:t xml:space="preserve">                 </w:t>
      </w:r>
      <w:r w:rsidR="001819F1">
        <w:rPr>
          <w:b/>
        </w:rPr>
        <w:t xml:space="preserve">From:                   </w:t>
      </w:r>
      <w:r w:rsidR="00410170">
        <w:rPr>
          <w:b/>
        </w:rPr>
        <w:t xml:space="preserve">      </w:t>
      </w:r>
      <w:r w:rsidR="001819F1">
        <w:rPr>
          <w:b/>
        </w:rPr>
        <w:t>To:</w:t>
      </w:r>
    </w:p>
    <w:p w14:paraId="27B9DB8F" w14:textId="77777777" w:rsidR="00410170" w:rsidRDefault="00410170" w:rsidP="004D2B20">
      <w:r>
        <w:t xml:space="preserve">RTO Supervisor/ representative </w:t>
      </w:r>
      <w:r w:rsidR="00132469">
        <w:t xml:space="preserve">who has discussed and agreed on this plan:  </w:t>
      </w:r>
      <w:r w:rsidR="00132469" w:rsidRPr="00410170">
        <w:rPr>
          <w:b/>
        </w:rPr>
        <w:t>Name:</w:t>
      </w:r>
      <w:r w:rsidR="00132469">
        <w:t xml:space="preserve">     </w:t>
      </w:r>
    </w:p>
    <w:p w14:paraId="2028C927" w14:textId="77777777" w:rsidR="00410170" w:rsidRDefault="00410170" w:rsidP="004D2B20">
      <w:r>
        <w:t>RTO Supervisor / representative comments on performance gaps / opportunities for improvement:</w:t>
      </w:r>
    </w:p>
    <w:p w14:paraId="57B9AC97" w14:textId="77777777" w:rsidR="00410170" w:rsidRDefault="00410170" w:rsidP="004D2B20"/>
    <w:p w14:paraId="091F0B61" w14:textId="77777777" w:rsidR="00132469" w:rsidRDefault="00132469" w:rsidP="004D2B20">
      <w:r>
        <w:t xml:space="preserve">     </w:t>
      </w:r>
    </w:p>
    <w:p w14:paraId="070438A5" w14:textId="77777777" w:rsidR="00410170" w:rsidRDefault="00410170" w:rsidP="004D2B20"/>
    <w:p w14:paraId="47FDD274" w14:textId="77777777" w:rsidR="00410170" w:rsidRDefault="00410170" w:rsidP="004D2B20"/>
    <w:p w14:paraId="6F7F950A" w14:textId="77777777" w:rsidR="00410170" w:rsidRDefault="004D2B20" w:rsidP="004D2B20">
      <w:r>
        <w:t xml:space="preserve">Use this template to record your plan of professional development activities. </w:t>
      </w:r>
      <w:r w:rsidRPr="00410170">
        <w:rPr>
          <w:i/>
          <w:sz w:val="18"/>
        </w:rPr>
        <w:t xml:space="preserve">(e.g. attend training in </w:t>
      </w:r>
      <w:r w:rsidR="007436BD" w:rsidRPr="00410170">
        <w:rPr>
          <w:i/>
          <w:sz w:val="18"/>
        </w:rPr>
        <w:t>presenting skills, follow discussions on LinkedIn relating to changes in VET</w:t>
      </w:r>
      <w:r w:rsidR="00410170">
        <w:rPr>
          <w:i/>
          <w:sz w:val="18"/>
        </w:rPr>
        <w:t>, deliver training for x industry, work in x industry</w:t>
      </w:r>
      <w:r w:rsidRPr="00410170">
        <w:rPr>
          <w:i/>
          <w:sz w:val="18"/>
        </w:rPr>
        <w:t>)</w:t>
      </w:r>
      <w:r>
        <w:t xml:space="preserve"> </w:t>
      </w:r>
    </w:p>
    <w:p w14:paraId="0C8585DD" w14:textId="77777777" w:rsidR="004D2B20" w:rsidRDefault="00410170" w:rsidP="004D2B20">
      <w:r>
        <w:t>In 12 months’ time, move those items that are completed in to the record above and prepare a new plan</w:t>
      </w:r>
    </w:p>
    <w:tbl>
      <w:tblPr>
        <w:tblW w:w="9744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620"/>
        <w:gridCol w:w="3775"/>
        <w:gridCol w:w="3119"/>
        <w:gridCol w:w="1275"/>
        <w:gridCol w:w="955"/>
      </w:tblGrid>
      <w:tr w:rsidR="007436BD" w14:paraId="36D2B2BE" w14:textId="77777777" w:rsidTr="001819F1">
        <w:trPr>
          <w:cantSplit/>
          <w:trHeight w:val="1194"/>
          <w:tblHeader/>
          <w:jc w:val="center"/>
        </w:trPr>
        <w:tc>
          <w:tcPr>
            <w:tcW w:w="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E599" w:themeFill="accent4" w:themeFillTint="66"/>
            <w:textDirection w:val="btLr"/>
            <w:hideMark/>
          </w:tcPr>
          <w:p w14:paraId="796D320B" w14:textId="77777777" w:rsidR="007436BD" w:rsidRDefault="007436BD">
            <w:pPr>
              <w:spacing w:after="0"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Priority</w:t>
            </w:r>
          </w:p>
        </w:tc>
        <w:tc>
          <w:tcPr>
            <w:tcW w:w="3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E599" w:themeFill="accent4" w:themeFillTint="66"/>
            <w:textDirection w:val="btLr"/>
            <w:hideMark/>
          </w:tcPr>
          <w:p w14:paraId="6D25CA20" w14:textId="77777777" w:rsidR="007436BD" w:rsidRDefault="007436BD">
            <w:pPr>
              <w:spacing w:after="0"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Skill </w:t>
            </w: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E599" w:themeFill="accent4" w:themeFillTint="66"/>
            <w:textDirection w:val="btLr"/>
            <w:hideMark/>
          </w:tcPr>
          <w:p w14:paraId="5DC830D3" w14:textId="77777777" w:rsidR="007436BD" w:rsidRDefault="007436BD">
            <w:pPr>
              <w:spacing w:after="0"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Method 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E599" w:themeFill="accent4" w:themeFillTint="66"/>
            <w:textDirection w:val="btLr"/>
            <w:hideMark/>
          </w:tcPr>
          <w:p w14:paraId="6405EA96" w14:textId="77777777" w:rsidR="007436BD" w:rsidRDefault="007436BD">
            <w:pPr>
              <w:spacing w:after="0"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Preferred dates or timeframe </w:t>
            </w:r>
          </w:p>
        </w:tc>
        <w:tc>
          <w:tcPr>
            <w:tcW w:w="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E599" w:themeFill="accent4" w:themeFillTint="66"/>
            <w:textDirection w:val="btLr"/>
            <w:hideMark/>
          </w:tcPr>
          <w:p w14:paraId="520577D3" w14:textId="77777777" w:rsidR="007436BD" w:rsidRDefault="007436BD" w:rsidP="007436BD">
            <w:pPr>
              <w:spacing w:after="0"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Area to be developed </w:t>
            </w:r>
            <w:r w:rsidR="00132469">
              <w:rPr>
                <w:b/>
                <w:sz w:val="20"/>
                <w:szCs w:val="20"/>
              </w:rPr>
              <w:t xml:space="preserve">                 </w:t>
            </w:r>
            <w:r w:rsidRPr="00132469">
              <w:rPr>
                <w:b/>
                <w:sz w:val="12"/>
                <w:szCs w:val="20"/>
              </w:rPr>
              <w:t>(TAE, VET, Vocational</w:t>
            </w:r>
          </w:p>
        </w:tc>
      </w:tr>
      <w:tr w:rsidR="00410170" w:rsidRPr="00410170" w14:paraId="1555E64E" w14:textId="77777777" w:rsidTr="001819F1">
        <w:trPr>
          <w:cantSplit/>
          <w:trHeight w:val="778"/>
          <w:jc w:val="center"/>
        </w:trPr>
        <w:tc>
          <w:tcPr>
            <w:tcW w:w="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C1FFBBD" w14:textId="77777777" w:rsidR="007436BD" w:rsidRPr="00410170" w:rsidRDefault="00D36069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1</w:t>
            </w:r>
          </w:p>
        </w:tc>
        <w:tc>
          <w:tcPr>
            <w:tcW w:w="3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2095DE7" w14:textId="77777777" w:rsidR="007436BD" w:rsidRPr="00410170" w:rsidRDefault="00D36069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EG: Currency in Training &amp; Assessment Qualification</w:t>
            </w:r>
            <w:r w:rsidR="007436BD" w:rsidRPr="00410170">
              <w:rPr>
                <w:i/>
                <w:color w:val="BF8F00" w:themeColor="accent4" w:themeShade="BF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C640B09" w14:textId="77857E8D" w:rsidR="007436BD" w:rsidRPr="00410170" w:rsidRDefault="00D36069" w:rsidP="00132469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Complete TAE401</w:t>
            </w:r>
            <w:r w:rsidR="002A7FBF">
              <w:rPr>
                <w:i/>
                <w:color w:val="BF8F00" w:themeColor="accent4" w:themeShade="BF"/>
                <w:sz w:val="18"/>
                <w:szCs w:val="18"/>
              </w:rPr>
              <w:t>22</w:t>
            </w: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 xml:space="preserve"> upgrade course</w:t>
            </w:r>
            <w:r w:rsidR="007436BD" w:rsidRPr="00410170">
              <w:rPr>
                <w:i/>
                <w:color w:val="BF8F00" w:themeColor="accent4" w:themeShade="BF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50820E0" w14:textId="21389CB9" w:rsidR="007436BD" w:rsidRPr="00410170" w:rsidRDefault="007436BD" w:rsidP="00132469">
            <w:pPr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Completed by March 20</w:t>
            </w:r>
            <w:r w:rsidR="002A7FBF">
              <w:rPr>
                <w:i/>
                <w:color w:val="BF8F00" w:themeColor="accent4" w:themeShade="BF"/>
                <w:sz w:val="18"/>
                <w:szCs w:val="18"/>
              </w:rPr>
              <w:t>25</w:t>
            </w: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.</w:t>
            </w:r>
          </w:p>
        </w:tc>
        <w:tc>
          <w:tcPr>
            <w:tcW w:w="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3E22298" w14:textId="77777777" w:rsidR="007436BD" w:rsidRPr="00410170" w:rsidRDefault="00D36069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TAE</w:t>
            </w:r>
          </w:p>
        </w:tc>
      </w:tr>
      <w:tr w:rsidR="00410170" w:rsidRPr="00410170" w14:paraId="527D420C" w14:textId="77777777" w:rsidTr="001819F1">
        <w:trPr>
          <w:cantSplit/>
          <w:trHeight w:val="288"/>
          <w:jc w:val="center"/>
        </w:trPr>
        <w:tc>
          <w:tcPr>
            <w:tcW w:w="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7103F2" w14:textId="77777777" w:rsidR="007436BD" w:rsidRPr="00410170" w:rsidRDefault="00132469">
            <w:pPr>
              <w:spacing w:before="120" w:after="120" w:line="276" w:lineRule="auto"/>
              <w:rPr>
                <w:color w:val="BF8F00" w:themeColor="accent4" w:themeShade="BF"/>
                <w:szCs w:val="24"/>
              </w:rPr>
            </w:pPr>
            <w:r w:rsidRPr="00410170">
              <w:rPr>
                <w:color w:val="BF8F00" w:themeColor="accent4" w:themeShade="BF"/>
                <w:szCs w:val="24"/>
              </w:rPr>
              <w:t>2</w:t>
            </w:r>
          </w:p>
        </w:tc>
        <w:tc>
          <w:tcPr>
            <w:tcW w:w="3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B12AF0" w14:textId="77777777" w:rsidR="007436BD" w:rsidRPr="00410170" w:rsidRDefault="00132469" w:rsidP="00132469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EG: Understanding the New WHS Laws</w:t>
            </w:r>
          </w:p>
          <w:p w14:paraId="7CC912B9" w14:textId="77777777" w:rsidR="00132469" w:rsidRPr="00410170" w:rsidRDefault="00132469" w:rsidP="00132469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E045BB" w14:textId="77777777" w:rsidR="001819F1" w:rsidRPr="00410170" w:rsidRDefault="00132469" w:rsidP="001819F1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LinkedIn Group – OHS in Australia</w:t>
            </w:r>
            <w:r w:rsidR="001819F1" w:rsidRPr="00410170">
              <w:rPr>
                <w:i/>
                <w:color w:val="BF8F00" w:themeColor="accent4" w:themeShade="BF"/>
                <w:sz w:val="18"/>
                <w:szCs w:val="18"/>
              </w:rPr>
              <w:t xml:space="preserve"> </w:t>
            </w:r>
          </w:p>
          <w:p w14:paraId="5EE000F5" w14:textId="77777777" w:rsidR="007436BD" w:rsidRPr="00410170" w:rsidRDefault="001819F1" w:rsidP="001819F1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Membership Safety Institute of Australia which includes monthly newsletters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9191AB" w14:textId="77777777" w:rsidR="007436BD" w:rsidRPr="00410170" w:rsidRDefault="00132469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Ongoing</w:t>
            </w:r>
          </w:p>
          <w:p w14:paraId="358E1EB8" w14:textId="77777777" w:rsidR="00132469" w:rsidRPr="00410170" w:rsidRDefault="00132469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Ongoing</w:t>
            </w:r>
          </w:p>
        </w:tc>
        <w:tc>
          <w:tcPr>
            <w:tcW w:w="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3D4B44" w14:textId="77777777" w:rsidR="007436BD" w:rsidRPr="00410170" w:rsidRDefault="00132469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Vocational</w:t>
            </w:r>
          </w:p>
        </w:tc>
      </w:tr>
      <w:tr w:rsidR="00410170" w:rsidRPr="00410170" w14:paraId="66EC890F" w14:textId="77777777" w:rsidTr="001819F1">
        <w:trPr>
          <w:cantSplit/>
          <w:trHeight w:val="556"/>
          <w:jc w:val="center"/>
        </w:trPr>
        <w:tc>
          <w:tcPr>
            <w:tcW w:w="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5BB81A" w14:textId="77777777" w:rsidR="00132469" w:rsidRPr="00410170" w:rsidRDefault="00132469">
            <w:pPr>
              <w:spacing w:before="120" w:after="120" w:line="276" w:lineRule="auto"/>
              <w:rPr>
                <w:color w:val="BF8F00" w:themeColor="accent4" w:themeShade="BF"/>
                <w:szCs w:val="24"/>
              </w:rPr>
            </w:pPr>
            <w:r w:rsidRPr="00410170">
              <w:rPr>
                <w:color w:val="BF8F00" w:themeColor="accent4" w:themeShade="BF"/>
                <w:szCs w:val="24"/>
              </w:rPr>
              <w:t>3</w:t>
            </w:r>
          </w:p>
        </w:tc>
        <w:tc>
          <w:tcPr>
            <w:tcW w:w="3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B28CF2" w14:textId="77777777" w:rsidR="00132469" w:rsidRPr="00410170" w:rsidRDefault="00132469">
            <w:pPr>
              <w:spacing w:before="120" w:after="120" w:line="276" w:lineRule="auto"/>
              <w:rPr>
                <w:color w:val="BF8F00" w:themeColor="accent4" w:themeShade="BF"/>
                <w:szCs w:val="24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EG: Understand the changes to the VET Sector</w:t>
            </w: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D5EF0A" w14:textId="77777777" w:rsidR="00132469" w:rsidRPr="00410170" w:rsidRDefault="00132469" w:rsidP="00132469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LinkedIn Group – National RTO Network</w:t>
            </w:r>
          </w:p>
          <w:p w14:paraId="49402547" w14:textId="77777777" w:rsidR="00132469" w:rsidRPr="00410170" w:rsidRDefault="00132469" w:rsidP="00132469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VET Development Centre webinars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E2FC0B" w14:textId="77777777" w:rsidR="00132469" w:rsidRPr="00410170" w:rsidRDefault="00132469" w:rsidP="00623FB4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Ongoing</w:t>
            </w:r>
          </w:p>
          <w:p w14:paraId="6AEC175F" w14:textId="77777777" w:rsidR="00132469" w:rsidRPr="00410170" w:rsidRDefault="00132469" w:rsidP="00623FB4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Ongoing</w:t>
            </w:r>
          </w:p>
        </w:tc>
        <w:tc>
          <w:tcPr>
            <w:tcW w:w="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498E7F" w14:textId="77777777" w:rsidR="00132469" w:rsidRPr="00410170" w:rsidRDefault="00132469" w:rsidP="00623FB4">
            <w:pPr>
              <w:spacing w:before="120" w:after="120" w:line="276" w:lineRule="auto"/>
              <w:rPr>
                <w:i/>
                <w:color w:val="BF8F00" w:themeColor="accent4" w:themeShade="BF"/>
                <w:sz w:val="18"/>
                <w:szCs w:val="18"/>
              </w:rPr>
            </w:pPr>
            <w:r w:rsidRPr="00410170">
              <w:rPr>
                <w:i/>
                <w:color w:val="BF8F00" w:themeColor="accent4" w:themeShade="BF"/>
                <w:sz w:val="18"/>
                <w:szCs w:val="18"/>
              </w:rPr>
              <w:t>VET</w:t>
            </w:r>
          </w:p>
        </w:tc>
      </w:tr>
      <w:tr w:rsidR="00132469" w14:paraId="4E2945C8" w14:textId="77777777" w:rsidTr="001819F1">
        <w:trPr>
          <w:cantSplit/>
          <w:trHeight w:val="563"/>
          <w:jc w:val="center"/>
        </w:trPr>
        <w:tc>
          <w:tcPr>
            <w:tcW w:w="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52E615" w14:textId="77777777" w:rsidR="00132469" w:rsidRDefault="001324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51811B" w14:textId="77777777" w:rsidR="00132469" w:rsidRDefault="001324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D2BB9C" w14:textId="77777777" w:rsidR="00132469" w:rsidRDefault="001324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73F823" w14:textId="77777777" w:rsidR="00132469" w:rsidRDefault="001324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030D7D" w14:textId="77777777" w:rsidR="00132469" w:rsidRDefault="00132469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132469" w14:paraId="3086DB0B" w14:textId="77777777" w:rsidTr="001819F1">
        <w:trPr>
          <w:cantSplit/>
          <w:trHeight w:val="558"/>
          <w:jc w:val="center"/>
        </w:trPr>
        <w:tc>
          <w:tcPr>
            <w:tcW w:w="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66ED8A" w14:textId="77777777" w:rsidR="00132469" w:rsidRDefault="001324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B37F7B" w14:textId="77777777" w:rsidR="00132469" w:rsidRDefault="001324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2E5BF0" w14:textId="77777777" w:rsidR="00132469" w:rsidRDefault="001324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89E041" w14:textId="77777777" w:rsidR="00132469" w:rsidRDefault="00132469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6CDDD5" w14:textId="77777777" w:rsidR="00132469" w:rsidRDefault="00132469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1819F1" w14:paraId="474C4238" w14:textId="77777777" w:rsidTr="001819F1">
        <w:trPr>
          <w:cantSplit/>
          <w:trHeight w:val="558"/>
          <w:jc w:val="center"/>
        </w:trPr>
        <w:tc>
          <w:tcPr>
            <w:tcW w:w="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8E0458" w14:textId="77777777" w:rsidR="001819F1" w:rsidRDefault="001819F1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498B86" w14:textId="77777777" w:rsidR="001819F1" w:rsidRDefault="001819F1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7A4834" w14:textId="77777777" w:rsidR="001819F1" w:rsidRDefault="001819F1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30D965" w14:textId="77777777" w:rsidR="001819F1" w:rsidRDefault="001819F1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10BDC0" w14:textId="77777777" w:rsidR="001819F1" w:rsidRDefault="001819F1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1819F1" w14:paraId="49D001DD" w14:textId="77777777" w:rsidTr="001819F1">
        <w:trPr>
          <w:cantSplit/>
          <w:trHeight w:val="558"/>
          <w:jc w:val="center"/>
        </w:trPr>
        <w:tc>
          <w:tcPr>
            <w:tcW w:w="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3954585" w14:textId="77777777" w:rsidR="001819F1" w:rsidRDefault="001819F1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98DDBA" w14:textId="77777777" w:rsidR="001819F1" w:rsidRDefault="001819F1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7EFD51" w14:textId="77777777" w:rsidR="001819F1" w:rsidRDefault="001819F1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C8D09C" w14:textId="77777777" w:rsidR="001819F1" w:rsidRDefault="001819F1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F7D5C1" w14:textId="77777777" w:rsidR="001819F1" w:rsidRDefault="001819F1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410170" w14:paraId="3071899E" w14:textId="77777777" w:rsidTr="001819F1">
        <w:trPr>
          <w:cantSplit/>
          <w:trHeight w:val="558"/>
          <w:jc w:val="center"/>
        </w:trPr>
        <w:tc>
          <w:tcPr>
            <w:tcW w:w="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E45054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EA8694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398A00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6FD840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C7D634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410170" w14:paraId="5C691C5F" w14:textId="77777777" w:rsidTr="001819F1">
        <w:trPr>
          <w:cantSplit/>
          <w:trHeight w:val="558"/>
          <w:jc w:val="center"/>
        </w:trPr>
        <w:tc>
          <w:tcPr>
            <w:tcW w:w="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B94EA3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0A8DB1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EAAE46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2C675A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85E32D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410170" w14:paraId="50A09F1E" w14:textId="77777777" w:rsidTr="001819F1">
        <w:trPr>
          <w:cantSplit/>
          <w:trHeight w:val="558"/>
          <w:jc w:val="center"/>
        </w:trPr>
        <w:tc>
          <w:tcPr>
            <w:tcW w:w="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725F59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C0B652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1F2B3A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3CA15D4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B443F9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410170" w14:paraId="0B4C2625" w14:textId="77777777" w:rsidTr="001819F1">
        <w:trPr>
          <w:cantSplit/>
          <w:trHeight w:val="558"/>
          <w:jc w:val="center"/>
        </w:trPr>
        <w:tc>
          <w:tcPr>
            <w:tcW w:w="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051ECF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7BCE09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9BD2CA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F2469B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8B7D21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</w:tr>
      <w:tr w:rsidR="00410170" w14:paraId="577152AD" w14:textId="77777777" w:rsidTr="001819F1">
        <w:trPr>
          <w:cantSplit/>
          <w:trHeight w:val="558"/>
          <w:jc w:val="center"/>
        </w:trPr>
        <w:tc>
          <w:tcPr>
            <w:tcW w:w="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60140A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ED78C2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3E7C01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27D774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81539C" w14:textId="77777777" w:rsidR="00410170" w:rsidRDefault="00410170">
            <w:pPr>
              <w:spacing w:before="120" w:after="120" w:line="276" w:lineRule="auto"/>
              <w:rPr>
                <w:szCs w:val="24"/>
              </w:rPr>
            </w:pPr>
          </w:p>
        </w:tc>
      </w:tr>
    </w:tbl>
    <w:p w14:paraId="317D89DF" w14:textId="77777777" w:rsidR="004D2B20" w:rsidRPr="00854050" w:rsidRDefault="004D2B20" w:rsidP="004D2B20">
      <w:pPr>
        <w:rPr>
          <w:b/>
          <w:sz w:val="28"/>
          <w:szCs w:val="28"/>
        </w:rPr>
      </w:pPr>
    </w:p>
    <w:sectPr w:rsidR="004D2B20" w:rsidRPr="00854050" w:rsidSect="007436BD">
      <w:footerReference w:type="default" r:id="rId9"/>
      <w:pgSz w:w="11906" w:h="16838"/>
      <w:pgMar w:top="568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9382" w14:textId="77777777" w:rsidR="00690F82" w:rsidRDefault="00690F82" w:rsidP="00FD2C4E">
      <w:pPr>
        <w:spacing w:after="0" w:line="240" w:lineRule="auto"/>
      </w:pPr>
      <w:r>
        <w:separator/>
      </w:r>
    </w:p>
  </w:endnote>
  <w:endnote w:type="continuationSeparator" w:id="0">
    <w:p w14:paraId="22BA2678" w14:textId="77777777" w:rsidR="00690F82" w:rsidRDefault="00690F82" w:rsidP="00FD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109141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43615BC" w14:textId="516487E4" w:rsidR="001819F1" w:rsidRDefault="001819F1">
            <w:pPr>
              <w:pStyle w:val="Footer"/>
            </w:pPr>
            <w:r w:rsidRPr="001819F1">
              <w:rPr>
                <w:sz w:val="12"/>
              </w:rPr>
              <w:t xml:space="preserve">Page </w:t>
            </w:r>
            <w:r w:rsidRPr="001819F1">
              <w:rPr>
                <w:b/>
                <w:bCs/>
                <w:sz w:val="14"/>
                <w:szCs w:val="24"/>
              </w:rPr>
              <w:fldChar w:fldCharType="begin"/>
            </w:r>
            <w:r w:rsidRPr="001819F1">
              <w:rPr>
                <w:b/>
                <w:bCs/>
                <w:sz w:val="12"/>
              </w:rPr>
              <w:instrText xml:space="preserve"> PAGE </w:instrText>
            </w:r>
            <w:r w:rsidRPr="001819F1">
              <w:rPr>
                <w:b/>
                <w:bCs/>
                <w:sz w:val="14"/>
                <w:szCs w:val="24"/>
              </w:rPr>
              <w:fldChar w:fldCharType="separate"/>
            </w:r>
            <w:r w:rsidR="00B14DD1">
              <w:rPr>
                <w:b/>
                <w:bCs/>
                <w:noProof/>
                <w:sz w:val="12"/>
              </w:rPr>
              <w:t>1</w:t>
            </w:r>
            <w:r w:rsidRPr="001819F1">
              <w:rPr>
                <w:b/>
                <w:bCs/>
                <w:sz w:val="14"/>
                <w:szCs w:val="24"/>
              </w:rPr>
              <w:fldChar w:fldCharType="end"/>
            </w:r>
            <w:r w:rsidRPr="001819F1">
              <w:rPr>
                <w:sz w:val="12"/>
              </w:rPr>
              <w:t xml:space="preserve"> of </w:t>
            </w:r>
            <w:r w:rsidRPr="001819F1">
              <w:rPr>
                <w:b/>
                <w:bCs/>
                <w:sz w:val="14"/>
                <w:szCs w:val="24"/>
              </w:rPr>
              <w:fldChar w:fldCharType="begin"/>
            </w:r>
            <w:r w:rsidRPr="001819F1">
              <w:rPr>
                <w:b/>
                <w:bCs/>
                <w:sz w:val="12"/>
              </w:rPr>
              <w:instrText xml:space="preserve"> NUMPAGES  </w:instrText>
            </w:r>
            <w:r w:rsidRPr="001819F1">
              <w:rPr>
                <w:b/>
                <w:bCs/>
                <w:sz w:val="14"/>
                <w:szCs w:val="24"/>
              </w:rPr>
              <w:fldChar w:fldCharType="separate"/>
            </w:r>
            <w:r w:rsidR="00B14DD1">
              <w:rPr>
                <w:b/>
                <w:bCs/>
                <w:noProof/>
                <w:sz w:val="12"/>
              </w:rPr>
              <w:t>2</w:t>
            </w:r>
            <w:r w:rsidRPr="001819F1">
              <w:rPr>
                <w:b/>
                <w:bCs/>
                <w:sz w:val="14"/>
                <w:szCs w:val="24"/>
              </w:rPr>
              <w:fldChar w:fldCharType="end"/>
            </w:r>
            <w:r>
              <w:rPr>
                <w:b/>
                <w:bCs/>
                <w:sz w:val="14"/>
                <w:szCs w:val="24"/>
              </w:rPr>
              <w:tab/>
              <w:t>23/07/</w:t>
            </w:r>
            <w:r w:rsidR="002A7FBF">
              <w:rPr>
                <w:b/>
                <w:bCs/>
                <w:sz w:val="14"/>
                <w:szCs w:val="24"/>
              </w:rPr>
              <w:t>24</w:t>
            </w:r>
          </w:p>
        </w:sdtContent>
      </w:sdt>
    </w:sdtContent>
  </w:sdt>
  <w:p w14:paraId="79EC7D19" w14:textId="77777777" w:rsidR="00635F87" w:rsidRPr="001819F1" w:rsidRDefault="00635F87" w:rsidP="00181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AFCF" w14:textId="77777777" w:rsidR="00690F82" w:rsidRDefault="00690F82" w:rsidP="00FD2C4E">
      <w:pPr>
        <w:spacing w:after="0" w:line="240" w:lineRule="auto"/>
      </w:pPr>
      <w:r>
        <w:separator/>
      </w:r>
    </w:p>
  </w:footnote>
  <w:footnote w:type="continuationSeparator" w:id="0">
    <w:p w14:paraId="31B4DB61" w14:textId="77777777" w:rsidR="00690F82" w:rsidRDefault="00690F82" w:rsidP="00FD2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634"/>
    <w:multiLevelType w:val="hybridMultilevel"/>
    <w:tmpl w:val="401003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E08AA"/>
    <w:multiLevelType w:val="hybridMultilevel"/>
    <w:tmpl w:val="112ABDF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6D032F"/>
    <w:multiLevelType w:val="multilevel"/>
    <w:tmpl w:val="A6AC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11BB8"/>
    <w:multiLevelType w:val="hybridMultilevel"/>
    <w:tmpl w:val="22DA7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018B8"/>
    <w:multiLevelType w:val="hybridMultilevel"/>
    <w:tmpl w:val="0D586E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ED3BAE"/>
    <w:multiLevelType w:val="hybridMultilevel"/>
    <w:tmpl w:val="7DF23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E2D09"/>
    <w:multiLevelType w:val="multilevel"/>
    <w:tmpl w:val="E65E3D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92700765">
    <w:abstractNumId w:val="6"/>
  </w:num>
  <w:num w:numId="2" w16cid:durableId="1886520485">
    <w:abstractNumId w:val="3"/>
  </w:num>
  <w:num w:numId="3" w16cid:durableId="489101603">
    <w:abstractNumId w:val="5"/>
  </w:num>
  <w:num w:numId="4" w16cid:durableId="2103187679">
    <w:abstractNumId w:val="0"/>
  </w:num>
  <w:num w:numId="5" w16cid:durableId="1539313539">
    <w:abstractNumId w:val="2"/>
  </w:num>
  <w:num w:numId="6" w16cid:durableId="1695765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6025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96D"/>
    <w:rsid w:val="00004458"/>
    <w:rsid w:val="00016EF5"/>
    <w:rsid w:val="00084BF6"/>
    <w:rsid w:val="000E040D"/>
    <w:rsid w:val="000F2426"/>
    <w:rsid w:val="001037FB"/>
    <w:rsid w:val="00107F6C"/>
    <w:rsid w:val="001129AC"/>
    <w:rsid w:val="00114FB0"/>
    <w:rsid w:val="00132469"/>
    <w:rsid w:val="00161FCC"/>
    <w:rsid w:val="00171AA9"/>
    <w:rsid w:val="001819F1"/>
    <w:rsid w:val="00192424"/>
    <w:rsid w:val="001E5B36"/>
    <w:rsid w:val="001F7EB9"/>
    <w:rsid w:val="002062DE"/>
    <w:rsid w:val="0024013D"/>
    <w:rsid w:val="0024196D"/>
    <w:rsid w:val="0024571C"/>
    <w:rsid w:val="0025075B"/>
    <w:rsid w:val="0026728F"/>
    <w:rsid w:val="0028741A"/>
    <w:rsid w:val="002A261B"/>
    <w:rsid w:val="002A391D"/>
    <w:rsid w:val="002A6663"/>
    <w:rsid w:val="002A7FBF"/>
    <w:rsid w:val="002B2D9F"/>
    <w:rsid w:val="002C4132"/>
    <w:rsid w:val="002E787C"/>
    <w:rsid w:val="0032096E"/>
    <w:rsid w:val="003460D1"/>
    <w:rsid w:val="00370D08"/>
    <w:rsid w:val="003A777B"/>
    <w:rsid w:val="003B0C39"/>
    <w:rsid w:val="003B3A27"/>
    <w:rsid w:val="003E4BC5"/>
    <w:rsid w:val="00410170"/>
    <w:rsid w:val="00431D62"/>
    <w:rsid w:val="00436F32"/>
    <w:rsid w:val="00483323"/>
    <w:rsid w:val="00484D52"/>
    <w:rsid w:val="00485375"/>
    <w:rsid w:val="004C1C1D"/>
    <w:rsid w:val="004D00E2"/>
    <w:rsid w:val="004D2B20"/>
    <w:rsid w:val="00502025"/>
    <w:rsid w:val="00535D47"/>
    <w:rsid w:val="00551A29"/>
    <w:rsid w:val="00554A6D"/>
    <w:rsid w:val="00557F9F"/>
    <w:rsid w:val="005706BA"/>
    <w:rsid w:val="00574750"/>
    <w:rsid w:val="005D6C55"/>
    <w:rsid w:val="005E1A4B"/>
    <w:rsid w:val="006330DE"/>
    <w:rsid w:val="00635F87"/>
    <w:rsid w:val="006848FB"/>
    <w:rsid w:val="00690F82"/>
    <w:rsid w:val="006C3302"/>
    <w:rsid w:val="006C48EB"/>
    <w:rsid w:val="006D7875"/>
    <w:rsid w:val="006E5E4C"/>
    <w:rsid w:val="00707D15"/>
    <w:rsid w:val="00731892"/>
    <w:rsid w:val="007436BD"/>
    <w:rsid w:val="00747422"/>
    <w:rsid w:val="0077377E"/>
    <w:rsid w:val="007B14FE"/>
    <w:rsid w:val="007D00B9"/>
    <w:rsid w:val="007F5F11"/>
    <w:rsid w:val="00806A52"/>
    <w:rsid w:val="008A18E7"/>
    <w:rsid w:val="008A7D4D"/>
    <w:rsid w:val="008B042C"/>
    <w:rsid w:val="008B16E1"/>
    <w:rsid w:val="008C5830"/>
    <w:rsid w:val="009069B2"/>
    <w:rsid w:val="00913A2D"/>
    <w:rsid w:val="009420DE"/>
    <w:rsid w:val="00952E27"/>
    <w:rsid w:val="009A2BD2"/>
    <w:rsid w:val="009A71B1"/>
    <w:rsid w:val="009B0925"/>
    <w:rsid w:val="009F577A"/>
    <w:rsid w:val="00A2512D"/>
    <w:rsid w:val="00A523E8"/>
    <w:rsid w:val="00A55AE5"/>
    <w:rsid w:val="00A604B9"/>
    <w:rsid w:val="00A82EF2"/>
    <w:rsid w:val="00AA543D"/>
    <w:rsid w:val="00AB4164"/>
    <w:rsid w:val="00AC69D4"/>
    <w:rsid w:val="00AD7753"/>
    <w:rsid w:val="00AD7CD1"/>
    <w:rsid w:val="00B04054"/>
    <w:rsid w:val="00B14DD1"/>
    <w:rsid w:val="00B408C3"/>
    <w:rsid w:val="00B459B8"/>
    <w:rsid w:val="00B95419"/>
    <w:rsid w:val="00BD0955"/>
    <w:rsid w:val="00BE0D4E"/>
    <w:rsid w:val="00BF0D51"/>
    <w:rsid w:val="00BF72C3"/>
    <w:rsid w:val="00C1254D"/>
    <w:rsid w:val="00C14D0F"/>
    <w:rsid w:val="00C166EF"/>
    <w:rsid w:val="00C845A2"/>
    <w:rsid w:val="00CC7B38"/>
    <w:rsid w:val="00CE188E"/>
    <w:rsid w:val="00CE2EE7"/>
    <w:rsid w:val="00D03257"/>
    <w:rsid w:val="00D25FD7"/>
    <w:rsid w:val="00D33498"/>
    <w:rsid w:val="00D36069"/>
    <w:rsid w:val="00D37FDF"/>
    <w:rsid w:val="00D81B99"/>
    <w:rsid w:val="00DA06CE"/>
    <w:rsid w:val="00DB252F"/>
    <w:rsid w:val="00DD0504"/>
    <w:rsid w:val="00E03363"/>
    <w:rsid w:val="00E327CF"/>
    <w:rsid w:val="00E663B1"/>
    <w:rsid w:val="00E724F5"/>
    <w:rsid w:val="00E749F6"/>
    <w:rsid w:val="00E94AAE"/>
    <w:rsid w:val="00EA590B"/>
    <w:rsid w:val="00EB35DE"/>
    <w:rsid w:val="00EC4E5D"/>
    <w:rsid w:val="00EF564A"/>
    <w:rsid w:val="00F300B9"/>
    <w:rsid w:val="00F55210"/>
    <w:rsid w:val="00F554FB"/>
    <w:rsid w:val="00F6099A"/>
    <w:rsid w:val="00FD275B"/>
    <w:rsid w:val="00FD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656A9"/>
  <w15:docId w15:val="{C01007DF-A5B3-44CB-BB53-29FACF33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C4E"/>
  </w:style>
  <w:style w:type="paragraph" w:styleId="Footer">
    <w:name w:val="footer"/>
    <w:basedOn w:val="Normal"/>
    <w:link w:val="FooterChar"/>
    <w:uiPriority w:val="99"/>
    <w:unhideWhenUsed/>
    <w:rsid w:val="00FD2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C4E"/>
  </w:style>
  <w:style w:type="character" w:styleId="Hyperlink">
    <w:name w:val="Hyperlink"/>
    <w:basedOn w:val="DefaultParagraphFont"/>
    <w:uiPriority w:val="99"/>
    <w:unhideWhenUsed/>
    <w:rsid w:val="00114F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5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37FD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1FCC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7B1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D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9686">
              <w:marLeft w:val="750"/>
              <w:marRight w:val="7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3029">
                          <w:marLeft w:val="-6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3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6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7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9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2726">
              <w:marLeft w:val="750"/>
              <w:marRight w:val="7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2886">
                          <w:marLeft w:val="-6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08464">
                                  <w:marLeft w:val="6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8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65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8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58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D92AA-C37D-42B1-9A6F-EE27988F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Moncrieff</dc:creator>
  <cp:lastModifiedBy>julie mcloughlin</cp:lastModifiedBy>
  <cp:revision>2</cp:revision>
  <cp:lastPrinted>2016-04-14T05:17:00Z</cp:lastPrinted>
  <dcterms:created xsi:type="dcterms:W3CDTF">2024-07-31T01:29:00Z</dcterms:created>
  <dcterms:modified xsi:type="dcterms:W3CDTF">2024-07-31T01:29:00Z</dcterms:modified>
</cp:coreProperties>
</file>